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F519D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การแจ้งขุดดิน</w:t>
      </w:r>
    </w:p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0,8.75pt" to="47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84F59" w:rsidRPr="00F519DA" w:rsidRDefault="00784F59" w:rsidP="009A0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</w:t>
      </w:r>
      <w:r w:rsidRPr="00F519DA">
        <w:rPr>
          <w:rFonts w:ascii="TH SarabunPSK" w:hAnsi="TH SarabunPSK" w:cs="TH SarabunPSK"/>
          <w:noProof/>
          <w:sz w:val="32"/>
          <w:szCs w:val="32"/>
        </w:rPr>
        <w:t>1.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>1.1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บังคับได้แก่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1)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เทศบาล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2)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กรุงเทพมหานคร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3)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เมืองพัทยา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4)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5)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6)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7)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F519DA">
        <w:rPr>
          <w:rFonts w:ascii="TH SarabunPSK" w:hAnsi="TH SarabunPSK" w:cs="TH SarabunPSK"/>
          <w:noProof/>
          <w:sz w:val="32"/>
          <w:szCs w:val="32"/>
        </w:rPr>
        <w:t>(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F519DA">
        <w:rPr>
          <w:rFonts w:ascii="TH SarabunPSK" w:hAnsi="TH SarabunPSK" w:cs="TH SarabunPSK"/>
          <w:noProof/>
          <w:sz w:val="32"/>
          <w:szCs w:val="32"/>
        </w:rPr>
        <w:t>)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</w:rPr>
        <w:t>1.2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 xml:space="preserve">การดำเนินการขุดดินเข้าลักษณะตามมาตรา </w:t>
      </w:r>
      <w:r w:rsidRPr="00F519DA">
        <w:rPr>
          <w:rFonts w:ascii="TH SarabunPSK" w:hAnsi="TH SarabunPSK" w:cs="TH SarabunPSK"/>
          <w:noProof/>
          <w:sz w:val="32"/>
          <w:szCs w:val="32"/>
        </w:rPr>
        <w:t>17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F519DA">
        <w:rPr>
          <w:rFonts w:ascii="TH SarabunPSK" w:hAnsi="TH SarabunPSK" w:cs="TH SarabunPSK"/>
          <w:noProof/>
          <w:sz w:val="32"/>
          <w:szCs w:val="32"/>
        </w:rPr>
        <w:t>3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F519DA">
        <w:rPr>
          <w:rFonts w:ascii="TH SarabunPSK" w:hAnsi="TH SarabunPSK" w:cs="TH SarabunPSK"/>
          <w:noProof/>
          <w:sz w:val="32"/>
          <w:szCs w:val="32"/>
        </w:rPr>
        <w:t>.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. 2543   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การพิจารณารับแจ้งการขุดดิน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วันนับแต่วันที่ได้รับแจ้ง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 xml:space="preserve">ถ้าการแจ้งเป็นไปโดยไม่ถูกต้องให้เจ้าพนักงานท้องถิ่นแจ้งให้แก้ไขให้ถูกต้องภายใน </w:t>
      </w:r>
      <w:r w:rsidRPr="00F519DA">
        <w:rPr>
          <w:rFonts w:ascii="TH SarabunPSK" w:hAnsi="TH SarabunPSK" w:cs="TH SarabunPSK"/>
          <w:noProof/>
          <w:sz w:val="32"/>
          <w:szCs w:val="32"/>
        </w:rPr>
        <w:t>7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วันนับแต่วันที่มีการแจ้ง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 xml:space="preserve">ถ้าผู้แจ้งไม่แก้ไขให้ถูกต้องภายใน </w:t>
      </w:r>
      <w:r w:rsidRPr="00F519DA">
        <w:rPr>
          <w:rFonts w:ascii="TH SarabunPSK" w:hAnsi="TH SarabunPSK" w:cs="TH SarabunPSK"/>
          <w:noProof/>
          <w:sz w:val="32"/>
          <w:szCs w:val="32"/>
        </w:rPr>
        <w:t>7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วันนับแต่วันที่ผู้แจ้งได้รับแจ้งให้แก้ไข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 xml:space="preserve">ให้เจ้าพนักงานท้องถิ่นออกใบรับแจ้งให้แก่ผู้แจ้งภายใน </w:t>
      </w:r>
      <w:r w:rsidRPr="00F519DA">
        <w:rPr>
          <w:rFonts w:ascii="TH SarabunPSK" w:hAnsi="TH SarabunPSK" w:cs="TH SarabunPSK"/>
          <w:noProof/>
          <w:sz w:val="32"/>
          <w:szCs w:val="32"/>
        </w:rPr>
        <w:t>3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วันนับแต่วันที่ได้รับแจ้งที่ถูกต้อง</w:t>
      </w:r>
      <w:r w:rsidRPr="00F519DA">
        <w:rPr>
          <w:rFonts w:ascii="TH SarabunPSK" w:hAnsi="TH SarabunPSK" w:cs="TH SarabunPSK"/>
          <w:noProof/>
          <w:sz w:val="32"/>
          <w:szCs w:val="32"/>
        </w:rPr>
        <w:br/>
      </w:r>
    </w:p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784F59" w:rsidRPr="00C47E3D" w:rsidRDefault="00784F59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784F59" w:rsidRPr="00F519DA" w:rsidTr="00F376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9" w:rsidRPr="00C47E3D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C47E3D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1.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ส่วนโยธา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หมู่ที่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</w:p>
          <w:p w:rsidR="00784F59" w:rsidRPr="00C47E3D" w:rsidRDefault="00784F59" w:rsidP="00F376F1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ทางโทรศัพท์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0-3544-6910 , 0-3544-6911 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47E3D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47E3D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47E3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47E3D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784F59" w:rsidRPr="00395E51" w:rsidRDefault="00784F59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784F59" w:rsidRPr="00F519DA" w:rsidTr="00F376F1">
        <w:trPr>
          <w:tblHeader/>
        </w:trPr>
        <w:tc>
          <w:tcPr>
            <w:tcW w:w="846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95E5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5E5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ส่วนโยธาองค์การบริหารส่วนตำบลบางเลน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784F59" w:rsidRDefault="00784F59" w:rsidP="00395E5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ส่วนโยธา </w:t>
            </w:r>
          </w:p>
          <w:p w:rsidR="00784F59" w:rsidRDefault="00784F59" w:rsidP="00395E5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784F59" w:rsidRPr="00F519DA" w:rsidRDefault="00784F59" w:rsidP="00395E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95E5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5E5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ส่วนโยธาองค์การบริหารส่วนตำบลบางเลน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784F59" w:rsidRDefault="00784F59" w:rsidP="00395E5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784F59" w:rsidRDefault="00784F59" w:rsidP="00395E5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784F59" w:rsidRPr="00F519DA" w:rsidRDefault="00784F59" w:rsidP="00395E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95E5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95E5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ส่วนโยธาองค์การบริหารส่วนตำบลบางเลน</w:t>
            </w:r>
            <w:r w:rsidRPr="00395E5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784F59" w:rsidRDefault="00784F59" w:rsidP="00395E5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ส่วนโยธา</w:t>
            </w:r>
          </w:p>
          <w:p w:rsidR="00784F59" w:rsidRDefault="00784F59" w:rsidP="00395E5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784F59" w:rsidRPr="00F519DA" w:rsidRDefault="00784F59" w:rsidP="00395E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784F59" w:rsidRPr="00F519DA" w:rsidTr="00F376F1">
        <w:trPr>
          <w:tblHeader/>
        </w:trPr>
        <w:tc>
          <w:tcPr>
            <w:tcW w:w="846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แผนผังบริเวณที่ประสงค์จะดำเนินการขุดดิน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–</w:t>
            </w: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แบบแปลนรายการประกอบแบบแปลน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.3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.1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10,000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20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เมตร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3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เมตรหรือมีพื้นที่ปากบ่อดินเกิน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10,000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784F59" w:rsidRPr="00F519DA" w:rsidTr="00F376F1">
        <w:trPr>
          <w:tblHeader/>
        </w:trPr>
        <w:tc>
          <w:tcPr>
            <w:tcW w:w="846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784F59" w:rsidRPr="00F519DA" w:rsidRDefault="00784F59" w:rsidP="00F376F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ค่าธรรมเนียมต่อฉบับฉบับละ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500 </w:t>
            </w:r>
            <w:r w:rsidRPr="00F519D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1224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500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784F59" w:rsidRPr="00F519DA" w:rsidTr="00F376F1">
        <w:trPr>
          <w:tblHeader/>
        </w:trPr>
        <w:tc>
          <w:tcPr>
            <w:tcW w:w="846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1.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ร้องเรียนด้วยตนเอง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1224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ทางอินเทอร์เน็ต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(http://www.banglen.go.th)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ทางโทรศัพท์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0-3544-6910 , 0-3544-6911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3.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ทางไปรษณีย์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อบต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หมู่ที่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72110 </w:t>
            </w: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16"/>
                <w:szCs w:val="16"/>
              </w:rPr>
            </w:pP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จังหวัดอื่น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ร้องเรียนต่อผู้ว่าราชการจังหวัด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1224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16"/>
                <w:szCs w:val="16"/>
              </w:rPr>
            </w:pPr>
          </w:p>
        </w:tc>
      </w:tr>
      <w:tr w:rsidR="00784F59" w:rsidRPr="00F519DA" w:rsidTr="00F376F1">
        <w:tc>
          <w:tcPr>
            <w:tcW w:w="846" w:type="dxa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784F59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12243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</w:p>
          <w:p w:rsidR="00784F59" w:rsidRPr="00F12243" w:rsidRDefault="00784F59" w:rsidP="00F376F1">
            <w:pPr>
              <w:spacing w:after="0" w:line="240" w:lineRule="auto"/>
              <w:rPr>
                <w:rFonts w:ascii="TH SarabunPSK" w:hAnsi="TH SarabunPSK" w:cs="TH SarabunPSK"/>
                <w:iCs/>
                <w:sz w:val="16"/>
                <w:szCs w:val="16"/>
              </w:rPr>
            </w:pPr>
          </w:p>
        </w:tc>
      </w:tr>
    </w:tbl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784F59" w:rsidRPr="00F519DA" w:rsidTr="00F376F1">
        <w:trPr>
          <w:tblHeader/>
        </w:trPr>
        <w:tc>
          <w:tcPr>
            <w:tcW w:w="846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784F59" w:rsidRPr="00F519DA" w:rsidTr="00F376F1">
        <w:tc>
          <w:tcPr>
            <w:tcW w:w="10075" w:type="dxa"/>
            <w:gridSpan w:val="2"/>
          </w:tcPr>
          <w:p w:rsidR="00784F59" w:rsidRPr="00F519DA" w:rsidRDefault="00784F59" w:rsidP="00F376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9D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784F59" w:rsidRPr="00F519DA" w:rsidRDefault="00784F59" w:rsidP="0052786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 w:rsidRPr="00F519DA">
        <w:rPr>
          <w:rFonts w:ascii="TH SarabunPSK" w:hAnsi="TH SarabunPSK" w:cs="TH SarabunPSK"/>
          <w:noProof/>
          <w:sz w:val="32"/>
          <w:szCs w:val="32"/>
        </w:rPr>
        <w:t>-</w:t>
      </w:r>
    </w:p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next-textbox:#Text Box 2;mso-fit-shape-to-text:t">
              <w:txbxContent>
                <w:p w:rsidR="00784F59" w:rsidRPr="0098514A" w:rsidRDefault="00784F59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การแจ้งขุดดิน</w:t>
      </w:r>
    </w:p>
    <w:p w:rsidR="00784F59" w:rsidRDefault="00784F59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เมือง</w:t>
      </w:r>
    </w:p>
    <w:p w:rsidR="00784F59" w:rsidRDefault="00784F59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F519DA">
        <w:rPr>
          <w:rFonts w:ascii="TH SarabunPSK" w:hAnsi="TH SarabunPSK" w:cs="TH SarabunPSK"/>
          <w:noProof/>
          <w:sz w:val="32"/>
          <w:szCs w:val="32"/>
        </w:rPr>
        <w:t>(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เบ็ดเสร็จในหน่วยเดียว</w:t>
      </w:r>
      <w:r w:rsidRPr="00F519DA">
        <w:rPr>
          <w:rFonts w:ascii="TH SarabunPSK" w:hAnsi="TH SarabunPSK" w:cs="TH SarabunPSK"/>
          <w:noProof/>
          <w:sz w:val="32"/>
          <w:szCs w:val="32"/>
        </w:rPr>
        <w:t>)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784F59" w:rsidRPr="00F519DA" w:rsidTr="00F376F1">
        <w:tc>
          <w:tcPr>
            <w:tcW w:w="10070" w:type="dxa"/>
          </w:tcPr>
          <w:p w:rsidR="00784F59" w:rsidRPr="00F519DA" w:rsidRDefault="00784F59" w:rsidP="00F376F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     </w:t>
            </w:r>
            <w:r w:rsidRPr="00F519D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519D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การขุดดินและถมดิน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F12243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519D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2543</w:t>
            </w:r>
            <w:bookmarkStart w:id="0" w:name="_GoBack"/>
            <w:bookmarkEnd w:id="0"/>
          </w:p>
        </w:tc>
      </w:tr>
    </w:tbl>
    <w:p w:rsidR="00784F59" w:rsidRPr="00F519DA" w:rsidRDefault="00784F59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พระราชบัญญัติการขุดดินและถมดิน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F519DA">
        <w:rPr>
          <w:rFonts w:ascii="TH SarabunPSK" w:hAnsi="TH SarabunPSK" w:cs="TH SarabunPSK"/>
          <w:noProof/>
          <w:sz w:val="32"/>
          <w:szCs w:val="32"/>
        </w:rPr>
        <w:t>.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F519DA">
        <w:rPr>
          <w:rFonts w:ascii="TH SarabunPSK" w:hAnsi="TH SarabunPSK" w:cs="TH SarabunPSK"/>
          <w:noProof/>
          <w:sz w:val="32"/>
          <w:szCs w:val="32"/>
        </w:rPr>
        <w:t>. 2543</w:t>
      </w: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519DA">
        <w:rPr>
          <w:rFonts w:ascii="TH SarabunPSK" w:hAnsi="TH SarabunPSK" w:cs="TH SarabunPSK"/>
          <w:noProof/>
          <w:sz w:val="32"/>
          <w:szCs w:val="32"/>
        </w:rPr>
        <w:t>7.0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84F59" w:rsidRPr="00F519DA" w:rsidRDefault="00784F59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519DA">
        <w:rPr>
          <w:rFonts w:ascii="TH SarabunPSK" w:hAnsi="TH SarabunPSK" w:cs="TH SarabunPSK"/>
          <w:sz w:val="32"/>
          <w:szCs w:val="32"/>
        </w:rPr>
        <w:tab/>
      </w:r>
      <w:r w:rsidRPr="00F519DA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F519DA">
        <w:rPr>
          <w:rFonts w:ascii="TH SarabunPSK" w:hAnsi="TH SarabunPSK" w:cs="TH SarabunPSK"/>
          <w:noProof/>
          <w:sz w:val="32"/>
          <w:szCs w:val="32"/>
        </w:rPr>
        <w:t>0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519DA">
        <w:rPr>
          <w:rFonts w:ascii="TH SarabunPSK" w:hAnsi="TH SarabunPSK" w:cs="TH SarabunPSK"/>
          <w:sz w:val="32"/>
          <w:szCs w:val="32"/>
        </w:rPr>
        <w:tab/>
      </w:r>
      <w:r w:rsidRPr="00F519DA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F519DA">
        <w:rPr>
          <w:rFonts w:ascii="TH SarabunPSK" w:hAnsi="TH SarabunPSK" w:cs="TH SarabunPSK"/>
          <w:noProof/>
          <w:sz w:val="32"/>
          <w:szCs w:val="32"/>
        </w:rPr>
        <w:t>0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519DA">
        <w:rPr>
          <w:rFonts w:ascii="TH SarabunPSK" w:hAnsi="TH SarabunPSK" w:cs="TH SarabunPSK"/>
          <w:sz w:val="32"/>
          <w:szCs w:val="32"/>
        </w:rPr>
        <w:tab/>
      </w:r>
      <w:r w:rsidRPr="00F519DA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F519DA">
        <w:rPr>
          <w:rFonts w:ascii="TH SarabunPSK" w:hAnsi="TH SarabunPSK" w:cs="TH SarabunPSK"/>
          <w:noProof/>
          <w:sz w:val="32"/>
          <w:szCs w:val="32"/>
        </w:rPr>
        <w:t>0</w:t>
      </w: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519DA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519DA">
        <w:rPr>
          <w:rFonts w:ascii="TH SarabunPSK" w:hAnsi="TH SarabunPSK" w:cs="TH SarabunPSK"/>
          <w:noProof/>
          <w:sz w:val="32"/>
          <w:szCs w:val="32"/>
          <w:cs/>
        </w:rPr>
        <w:t>การแจ้งขุดดินองค์การบริหารส่วนตำบลบางเลน</w:t>
      </w:r>
    </w:p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4F59" w:rsidRPr="00F519DA" w:rsidRDefault="00784F59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F519DA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784F59" w:rsidRPr="00F519DA" w:rsidRDefault="00784F59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F519DA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784F59" w:rsidRPr="00F519DA" w:rsidRDefault="00784F59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/>
          <w:sz w:val="32"/>
          <w:szCs w:val="32"/>
        </w:rPr>
      </w:pPr>
      <w:r w:rsidRPr="00F519DA">
        <w:rPr>
          <w:rFonts w:ascii="TH SarabunPSK" w:hAnsi="TH SarabunPSK" w:cs="TH SarabunPSK"/>
          <w:color w:val="808080"/>
          <w:sz w:val="32"/>
          <w:szCs w:val="32"/>
          <w:cs/>
        </w:rPr>
        <w:t>วันที่เผยแพร่คู่มือ</w:t>
      </w:r>
      <w:r w:rsidRPr="00F519DA">
        <w:rPr>
          <w:rFonts w:ascii="TH SarabunPSK" w:hAnsi="TH SarabunPSK" w:cs="TH SarabunPSK"/>
          <w:color w:val="808080"/>
          <w:sz w:val="32"/>
          <w:szCs w:val="32"/>
        </w:rPr>
        <w:t xml:space="preserve">: </w:t>
      </w:r>
      <w:r w:rsidRPr="00F519DA">
        <w:rPr>
          <w:rFonts w:ascii="TH SarabunPSK" w:hAnsi="TH SarabunPSK" w:cs="TH SarabunPSK"/>
          <w:noProof/>
          <w:color w:val="808080"/>
          <w:sz w:val="32"/>
          <w:szCs w:val="32"/>
        </w:rPr>
        <w:t>-</w:t>
      </w:r>
    </w:p>
    <w:sectPr w:rsidR="00784F59" w:rsidRPr="00F519DA" w:rsidSect="00F519D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95E51"/>
    <w:rsid w:val="003A318D"/>
    <w:rsid w:val="003D21D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71E0"/>
    <w:rsid w:val="00727E67"/>
    <w:rsid w:val="00784F59"/>
    <w:rsid w:val="007B7ED7"/>
    <w:rsid w:val="00812105"/>
    <w:rsid w:val="00815F25"/>
    <w:rsid w:val="008B4E9A"/>
    <w:rsid w:val="008D6120"/>
    <w:rsid w:val="00974646"/>
    <w:rsid w:val="0098514A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47E3D"/>
    <w:rsid w:val="00CA3FE9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F12243"/>
    <w:rsid w:val="00F134F4"/>
    <w:rsid w:val="00F376F1"/>
    <w:rsid w:val="00F519DA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E0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501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501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501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501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501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501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6</Pages>
  <Words>1003</Words>
  <Characters>5723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การแจ้งขุดดิน</dc:title>
  <dc:subject/>
  <dc:creator>Suwat Sookthai</dc:creator>
  <cp:keywords/>
  <dc:description/>
  <cp:lastModifiedBy>Original</cp:lastModifiedBy>
  <cp:revision>3</cp:revision>
  <dcterms:created xsi:type="dcterms:W3CDTF">2016-12-14T07:35:00Z</dcterms:created>
  <dcterms:modified xsi:type="dcterms:W3CDTF">2016-12-14T08:07:00Z</dcterms:modified>
</cp:coreProperties>
</file>